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356" w:rsidRPr="006F4CCA" w:rsidRDefault="009C0356" w:rsidP="006F4CCA">
      <w:pPr>
        <w:jc w:val="center"/>
        <w:rPr>
          <w:rFonts w:ascii="標楷體" w:eastAsia="標楷體" w:hAnsi="標楷體"/>
        </w:rPr>
      </w:pPr>
      <w:bookmarkStart w:id="0" w:name="_GoBack"/>
      <w:r w:rsidRPr="00F75848">
        <w:rPr>
          <w:rFonts w:ascii="標楷體" w:eastAsia="標楷體" w:hAnsi="標楷體" w:hint="eastAsia"/>
          <w:sz w:val="28"/>
        </w:rPr>
        <w:t>技術及職業教育</w:t>
      </w:r>
      <w:r w:rsidRPr="00F75848">
        <w:rPr>
          <w:rFonts w:ascii="標楷體" w:eastAsia="標楷體" w:hAnsi="標楷體"/>
          <w:sz w:val="28"/>
        </w:rPr>
        <w:t>法</w:t>
      </w:r>
      <w:r w:rsidRPr="00F75848">
        <w:rPr>
          <w:rFonts w:ascii="標楷體" w:eastAsia="標楷體" w:hAnsi="標楷體" w:hint="eastAsia"/>
          <w:sz w:val="28"/>
        </w:rPr>
        <w:t>施行細則</w:t>
      </w:r>
      <w:bookmarkEnd w:id="0"/>
    </w:p>
    <w:p w:rsidR="00C76A9B" w:rsidRDefault="00744196" w:rsidP="00C76A9B">
      <w:pPr>
        <w:ind w:left="708" w:hangingChars="295" w:hanging="708"/>
        <w:jc w:val="both"/>
        <w:rPr>
          <w:rFonts w:ascii="標楷體" w:eastAsia="標楷體" w:hAnsi="標楷體"/>
        </w:rPr>
      </w:pPr>
      <w:r w:rsidRPr="006F4CCA">
        <w:rPr>
          <w:rFonts w:ascii="標楷體" w:eastAsia="標楷體" w:hAnsi="標楷體" w:hint="eastAsia"/>
        </w:rPr>
        <w:t>第</w:t>
      </w:r>
      <w:r w:rsidR="00F75848">
        <w:rPr>
          <w:rFonts w:ascii="標楷體" w:eastAsia="標楷體" w:hAnsi="標楷體" w:hint="eastAsia"/>
        </w:rPr>
        <w:t xml:space="preserve">  </w:t>
      </w:r>
      <w:r w:rsidRPr="006F4CCA">
        <w:rPr>
          <w:rFonts w:ascii="標楷體" w:eastAsia="標楷體" w:hAnsi="標楷體" w:hint="eastAsia"/>
        </w:rPr>
        <w:t>一</w:t>
      </w:r>
      <w:r w:rsidR="00F75848">
        <w:rPr>
          <w:rFonts w:ascii="標楷體" w:eastAsia="標楷體" w:hAnsi="標楷體" w:hint="eastAsia"/>
        </w:rPr>
        <w:t xml:space="preserve">  </w:t>
      </w:r>
      <w:r w:rsidRPr="006F4CCA">
        <w:rPr>
          <w:rFonts w:ascii="標楷體" w:eastAsia="標楷體" w:hAnsi="標楷體" w:hint="eastAsia"/>
        </w:rPr>
        <w:t>條</w:t>
      </w:r>
      <w:r w:rsidR="006F4CCA">
        <w:rPr>
          <w:rFonts w:ascii="標楷體" w:eastAsia="標楷體" w:hAnsi="標楷體"/>
        </w:rPr>
        <w:tab/>
      </w:r>
      <w:r w:rsidR="006F4CCA">
        <w:rPr>
          <w:rFonts w:ascii="標楷體" w:eastAsia="標楷體" w:hAnsi="標楷體"/>
        </w:rPr>
        <w:tab/>
      </w:r>
      <w:r w:rsidR="009C0356" w:rsidRPr="006F4CCA">
        <w:rPr>
          <w:rFonts w:ascii="標楷體" w:eastAsia="標楷體" w:hAnsi="標楷體" w:hint="eastAsia"/>
        </w:rPr>
        <w:t>本細則依技術及職業教育法（以下簡稱本法）第二十八條規</w:t>
      </w:r>
    </w:p>
    <w:p w:rsidR="009C0356" w:rsidRPr="006F4CCA" w:rsidRDefault="009C0356" w:rsidP="00C76A9B">
      <w:pPr>
        <w:ind w:leftChars="295" w:left="708" w:firstLineChars="177" w:firstLine="425"/>
        <w:jc w:val="both"/>
        <w:rPr>
          <w:rFonts w:ascii="標楷體" w:eastAsia="標楷體" w:hAnsi="標楷體"/>
        </w:rPr>
      </w:pPr>
      <w:r w:rsidRPr="006F4CCA">
        <w:rPr>
          <w:rFonts w:ascii="標楷體" w:eastAsia="標楷體" w:hAnsi="標楷體" w:hint="eastAsia"/>
        </w:rPr>
        <w:t>定訂定之。</w:t>
      </w:r>
    </w:p>
    <w:p w:rsidR="00C76A9B" w:rsidRDefault="00744196" w:rsidP="00C76A9B">
      <w:pPr>
        <w:jc w:val="both"/>
        <w:rPr>
          <w:rFonts w:ascii="標楷體" w:eastAsia="標楷體" w:hAnsi="標楷體"/>
        </w:rPr>
      </w:pPr>
      <w:r w:rsidRPr="006F4CCA">
        <w:rPr>
          <w:rFonts w:ascii="標楷體" w:eastAsia="標楷體" w:hAnsi="標楷體" w:hint="eastAsia"/>
        </w:rPr>
        <w:t>第</w:t>
      </w:r>
      <w:r w:rsidR="00F75848">
        <w:rPr>
          <w:rFonts w:ascii="標楷體" w:eastAsia="標楷體" w:hAnsi="標楷體" w:hint="eastAsia"/>
        </w:rPr>
        <w:t xml:space="preserve">  </w:t>
      </w:r>
      <w:r w:rsidRPr="006F4CCA">
        <w:rPr>
          <w:rFonts w:ascii="標楷體" w:eastAsia="標楷體" w:hAnsi="標楷體" w:hint="eastAsia"/>
        </w:rPr>
        <w:t>二</w:t>
      </w:r>
      <w:r w:rsidR="00F75848">
        <w:rPr>
          <w:rFonts w:ascii="標楷體" w:eastAsia="標楷體" w:hAnsi="標楷體" w:hint="eastAsia"/>
        </w:rPr>
        <w:t xml:space="preserve">  </w:t>
      </w:r>
      <w:r w:rsidRPr="006F4CCA">
        <w:rPr>
          <w:rFonts w:ascii="標楷體" w:eastAsia="標楷體" w:hAnsi="標楷體" w:hint="eastAsia"/>
        </w:rPr>
        <w:t>條</w:t>
      </w:r>
      <w:r w:rsidR="006F4CCA">
        <w:rPr>
          <w:rFonts w:ascii="標楷體" w:eastAsia="標楷體" w:hAnsi="標楷體"/>
        </w:rPr>
        <w:tab/>
      </w:r>
      <w:r w:rsidR="006F4CCA">
        <w:rPr>
          <w:rFonts w:ascii="標楷體" w:eastAsia="標楷體" w:hAnsi="標楷體"/>
        </w:rPr>
        <w:tab/>
      </w:r>
      <w:r w:rsidR="009C0356" w:rsidRPr="006F4CCA">
        <w:rPr>
          <w:rFonts w:ascii="標楷體" w:eastAsia="標楷體" w:hAnsi="標楷體" w:hint="eastAsia"/>
        </w:rPr>
        <w:t>本法第四條第一項所定技術及職業教育（以下簡稱技職教育）</w:t>
      </w:r>
    </w:p>
    <w:p w:rsidR="009C0356" w:rsidRPr="006F4CCA" w:rsidRDefault="009C0356" w:rsidP="00C76A9B">
      <w:pPr>
        <w:ind w:firstLineChars="472" w:firstLine="1133"/>
        <w:jc w:val="both"/>
        <w:rPr>
          <w:rFonts w:ascii="標楷體" w:eastAsia="標楷體" w:hAnsi="標楷體"/>
        </w:rPr>
      </w:pPr>
      <w:r w:rsidRPr="006F4CCA">
        <w:rPr>
          <w:rFonts w:ascii="標楷體" w:eastAsia="標楷體" w:hAnsi="標楷體" w:hint="eastAsia"/>
        </w:rPr>
        <w:t>政策綱領，於本細則施行後一年內公告。</w:t>
      </w:r>
    </w:p>
    <w:p w:rsidR="00C76A9B" w:rsidRDefault="009C0356" w:rsidP="00C76A9B">
      <w:pPr>
        <w:ind w:left="708" w:hangingChars="295" w:hanging="708"/>
        <w:jc w:val="both"/>
        <w:rPr>
          <w:rFonts w:ascii="標楷體" w:eastAsia="標楷體" w:hAnsi="標楷體"/>
        </w:rPr>
      </w:pPr>
      <w:r w:rsidRPr="006F4CCA">
        <w:rPr>
          <w:rFonts w:ascii="標楷體" w:eastAsia="標楷體" w:hAnsi="標楷體" w:hint="eastAsia"/>
        </w:rPr>
        <w:t>第</w:t>
      </w:r>
      <w:r w:rsidR="00F75848">
        <w:rPr>
          <w:rFonts w:ascii="標楷體" w:eastAsia="標楷體" w:hAnsi="標楷體" w:hint="eastAsia"/>
        </w:rPr>
        <w:t xml:space="preserve">  </w:t>
      </w:r>
      <w:r w:rsidRPr="006F4CCA">
        <w:rPr>
          <w:rFonts w:ascii="標楷體" w:eastAsia="標楷體" w:hAnsi="標楷體" w:hint="eastAsia"/>
        </w:rPr>
        <w:t>三</w:t>
      </w:r>
      <w:r w:rsidR="00F75848">
        <w:rPr>
          <w:rFonts w:ascii="標楷體" w:eastAsia="標楷體" w:hAnsi="標楷體" w:hint="eastAsia"/>
        </w:rPr>
        <w:t xml:space="preserve">  </w:t>
      </w:r>
      <w:r w:rsidRPr="006F4CCA">
        <w:rPr>
          <w:rFonts w:ascii="標楷體" w:eastAsia="標楷體" w:hAnsi="標楷體" w:hint="eastAsia"/>
        </w:rPr>
        <w:t>條</w:t>
      </w:r>
      <w:r w:rsidR="006F4CCA">
        <w:rPr>
          <w:rFonts w:ascii="標楷體" w:eastAsia="標楷體" w:hAnsi="標楷體"/>
        </w:rPr>
        <w:tab/>
      </w:r>
      <w:r w:rsidR="006F4CCA">
        <w:rPr>
          <w:rFonts w:ascii="標楷體" w:eastAsia="標楷體" w:hAnsi="標楷體"/>
        </w:rPr>
        <w:tab/>
      </w:r>
      <w:r w:rsidRPr="006F4CCA">
        <w:rPr>
          <w:rFonts w:ascii="標楷體" w:eastAsia="標楷體" w:hAnsi="標楷體" w:hint="eastAsia"/>
        </w:rPr>
        <w:t>本法第六條所定直轄市、縣（市）主管機關之技職教育報告，</w:t>
      </w:r>
    </w:p>
    <w:p w:rsidR="00C76A9B" w:rsidRDefault="009C0356" w:rsidP="00C76A9B">
      <w:pPr>
        <w:ind w:leftChars="295" w:left="708" w:firstLineChars="177" w:firstLine="425"/>
        <w:jc w:val="both"/>
        <w:rPr>
          <w:rFonts w:ascii="標楷體" w:eastAsia="標楷體" w:hAnsi="標楷體"/>
        </w:rPr>
      </w:pPr>
      <w:r w:rsidRPr="006F4CCA">
        <w:rPr>
          <w:rFonts w:ascii="標楷體" w:eastAsia="標楷體" w:hAnsi="標楷體" w:hint="eastAsia"/>
        </w:rPr>
        <w:t>於本細則施行後二年內提出。</w:t>
      </w:r>
    </w:p>
    <w:p w:rsidR="00C76A9B" w:rsidRDefault="009C0356" w:rsidP="00C76A9B">
      <w:pPr>
        <w:ind w:leftChars="295" w:left="708" w:firstLineChars="177" w:firstLine="425"/>
        <w:jc w:val="both"/>
        <w:rPr>
          <w:rFonts w:ascii="標楷體" w:eastAsia="標楷體" w:hAnsi="標楷體"/>
        </w:rPr>
      </w:pPr>
      <w:r w:rsidRPr="006F4CCA">
        <w:rPr>
          <w:rFonts w:ascii="標楷體" w:eastAsia="標楷體" w:hAnsi="標楷體" w:hint="eastAsia"/>
        </w:rPr>
        <w:t>中央主管機關應於直轄市、縣（市）主管機關提出技職教育報告後一</w:t>
      </w:r>
    </w:p>
    <w:p w:rsidR="00C76A9B" w:rsidRDefault="009C0356" w:rsidP="00C76A9B">
      <w:pPr>
        <w:ind w:leftChars="295" w:left="708" w:firstLineChars="177" w:firstLine="425"/>
        <w:jc w:val="both"/>
        <w:rPr>
          <w:rFonts w:ascii="標楷體" w:eastAsia="標楷體" w:hAnsi="標楷體"/>
        </w:rPr>
      </w:pPr>
      <w:r w:rsidRPr="006F4CCA">
        <w:rPr>
          <w:rFonts w:ascii="標楷體" w:eastAsia="標楷體" w:hAnsi="標楷體" w:hint="eastAsia"/>
        </w:rPr>
        <w:t>年內訂定技職教育發展報告。</w:t>
      </w:r>
    </w:p>
    <w:p w:rsidR="00C76A9B" w:rsidRDefault="009C0356" w:rsidP="00C76A9B">
      <w:pPr>
        <w:ind w:leftChars="295" w:left="708" w:firstLineChars="177" w:firstLine="425"/>
        <w:jc w:val="both"/>
        <w:rPr>
          <w:rFonts w:ascii="標楷體" w:eastAsia="標楷體" w:hAnsi="標楷體"/>
        </w:rPr>
      </w:pPr>
      <w:r w:rsidRPr="006F4CCA">
        <w:rPr>
          <w:rFonts w:ascii="標楷體" w:eastAsia="標楷體" w:hAnsi="標楷體" w:hint="eastAsia"/>
        </w:rPr>
        <w:t>技職教育報告應包括直轄市、縣（市）主管機關推動技職教育之目標、</w:t>
      </w:r>
    </w:p>
    <w:p w:rsidR="00C76A9B" w:rsidRDefault="009C0356" w:rsidP="00C76A9B">
      <w:pPr>
        <w:ind w:leftChars="295" w:left="708" w:firstLineChars="177" w:firstLine="425"/>
        <w:jc w:val="both"/>
        <w:rPr>
          <w:rFonts w:ascii="標楷體" w:eastAsia="標楷體" w:hAnsi="標楷體"/>
        </w:rPr>
      </w:pPr>
      <w:r w:rsidRPr="006F4CCA">
        <w:rPr>
          <w:rFonts w:ascii="標楷體" w:eastAsia="標楷體" w:hAnsi="標楷體" w:hint="eastAsia"/>
        </w:rPr>
        <w:t>策略及成效等事項。</w:t>
      </w:r>
    </w:p>
    <w:p w:rsidR="009C0356" w:rsidRPr="006F4CCA" w:rsidRDefault="009C0356" w:rsidP="00C76A9B">
      <w:pPr>
        <w:ind w:leftChars="295" w:left="708" w:firstLineChars="177" w:firstLine="425"/>
        <w:jc w:val="both"/>
        <w:rPr>
          <w:rFonts w:ascii="標楷體" w:eastAsia="標楷體" w:hAnsi="標楷體"/>
        </w:rPr>
      </w:pPr>
      <w:r w:rsidRPr="006F4CCA">
        <w:rPr>
          <w:rFonts w:ascii="標楷體" w:eastAsia="標楷體" w:hAnsi="標楷體" w:hint="eastAsia"/>
        </w:rPr>
        <w:t>技職教育發展報告應包括技職教育之現況、問題及發展重點等事項。</w:t>
      </w:r>
    </w:p>
    <w:p w:rsidR="00C76A9B" w:rsidRDefault="009C0356" w:rsidP="00C76A9B">
      <w:pPr>
        <w:jc w:val="both"/>
        <w:rPr>
          <w:rFonts w:ascii="標楷體" w:eastAsia="標楷體" w:hAnsi="標楷體"/>
        </w:rPr>
      </w:pPr>
      <w:r w:rsidRPr="006F4CCA">
        <w:rPr>
          <w:rFonts w:ascii="標楷體" w:eastAsia="標楷體" w:hAnsi="標楷體" w:hint="eastAsia"/>
        </w:rPr>
        <w:t>第</w:t>
      </w:r>
      <w:r w:rsidR="00F75848">
        <w:rPr>
          <w:rFonts w:ascii="標楷體" w:eastAsia="標楷體" w:hAnsi="標楷體" w:hint="eastAsia"/>
        </w:rPr>
        <w:t xml:space="preserve">  </w:t>
      </w:r>
      <w:r w:rsidRPr="006F4CCA">
        <w:rPr>
          <w:rFonts w:ascii="標楷體" w:eastAsia="標楷體" w:hAnsi="標楷體" w:hint="eastAsia"/>
        </w:rPr>
        <w:t>四</w:t>
      </w:r>
      <w:r w:rsidR="00F75848">
        <w:rPr>
          <w:rFonts w:ascii="標楷體" w:eastAsia="標楷體" w:hAnsi="標楷體" w:hint="eastAsia"/>
        </w:rPr>
        <w:t xml:space="preserve">  </w:t>
      </w:r>
      <w:r w:rsidRPr="006F4CCA">
        <w:rPr>
          <w:rFonts w:ascii="標楷體" w:eastAsia="標楷體" w:hAnsi="標楷體" w:hint="eastAsia"/>
        </w:rPr>
        <w:t>條</w:t>
      </w:r>
      <w:r w:rsidR="00514C25">
        <w:rPr>
          <w:rFonts w:ascii="標楷體" w:eastAsia="標楷體" w:hAnsi="標楷體"/>
        </w:rPr>
        <w:tab/>
      </w:r>
      <w:r w:rsidR="00514C25">
        <w:rPr>
          <w:rFonts w:ascii="標楷體" w:eastAsia="標楷體" w:hAnsi="標楷體"/>
        </w:rPr>
        <w:tab/>
      </w:r>
      <w:r w:rsidRPr="006F4CCA">
        <w:rPr>
          <w:rFonts w:ascii="標楷體" w:eastAsia="標楷體" w:hAnsi="標楷體" w:hint="eastAsia"/>
        </w:rPr>
        <w:t>技術型高級中等學校、普通型高級中等學校附設專業群科及綜</w:t>
      </w:r>
    </w:p>
    <w:p w:rsidR="009C0356" w:rsidRPr="006F4CCA" w:rsidRDefault="009C0356" w:rsidP="00C76A9B">
      <w:pPr>
        <w:ind w:leftChars="472" w:left="1133"/>
        <w:jc w:val="both"/>
        <w:rPr>
          <w:rFonts w:ascii="標楷體" w:eastAsia="標楷體" w:hAnsi="標楷體"/>
        </w:rPr>
      </w:pPr>
      <w:r w:rsidRPr="006F4CCA">
        <w:rPr>
          <w:rFonts w:ascii="標楷體" w:eastAsia="標楷體" w:hAnsi="標楷體" w:hint="eastAsia"/>
        </w:rPr>
        <w:t>合型高級中等學校專門學程，依本法第十六條第一項規定向學校主管機關專案申請培育特定產業基層技術人力專班，其特定產業之認定、申請計畫內容、申請時間及審查作業等有關事項，依學校主管機關規定辦理。</w:t>
      </w:r>
    </w:p>
    <w:p w:rsidR="00C76A9B" w:rsidRDefault="009C0356" w:rsidP="00C76A9B">
      <w:pPr>
        <w:jc w:val="both"/>
        <w:rPr>
          <w:rFonts w:ascii="標楷體" w:eastAsia="標楷體" w:hAnsi="標楷體"/>
        </w:rPr>
      </w:pPr>
      <w:r w:rsidRPr="006F4CCA">
        <w:rPr>
          <w:rFonts w:ascii="標楷體" w:eastAsia="標楷體" w:hAnsi="標楷體" w:hint="eastAsia"/>
        </w:rPr>
        <w:t>第</w:t>
      </w:r>
      <w:r w:rsidR="00F75848">
        <w:rPr>
          <w:rFonts w:ascii="標楷體" w:eastAsia="標楷體" w:hAnsi="標楷體" w:hint="eastAsia"/>
        </w:rPr>
        <w:t xml:space="preserve">  </w:t>
      </w:r>
      <w:r w:rsidRPr="006F4CCA">
        <w:rPr>
          <w:rFonts w:ascii="標楷體" w:eastAsia="標楷體" w:hAnsi="標楷體" w:hint="eastAsia"/>
        </w:rPr>
        <w:t>五</w:t>
      </w:r>
      <w:r w:rsidR="00F75848">
        <w:rPr>
          <w:rFonts w:ascii="標楷體" w:eastAsia="標楷體" w:hAnsi="標楷體" w:hint="eastAsia"/>
        </w:rPr>
        <w:t xml:space="preserve">  </w:t>
      </w:r>
      <w:r w:rsidRPr="006F4CCA">
        <w:rPr>
          <w:rFonts w:ascii="標楷體" w:eastAsia="標楷體" w:hAnsi="標楷體" w:hint="eastAsia"/>
        </w:rPr>
        <w:t>條</w:t>
      </w:r>
      <w:r w:rsidR="00514C25">
        <w:rPr>
          <w:rFonts w:ascii="標楷體" w:eastAsia="標楷體" w:hAnsi="標楷體"/>
        </w:rPr>
        <w:tab/>
      </w:r>
      <w:r w:rsidR="00514C25">
        <w:rPr>
          <w:rFonts w:ascii="標楷體" w:eastAsia="標楷體" w:hAnsi="標楷體"/>
        </w:rPr>
        <w:tab/>
      </w:r>
      <w:r w:rsidRPr="006F4CCA">
        <w:rPr>
          <w:rFonts w:ascii="標楷體" w:eastAsia="標楷體" w:hAnsi="標楷體" w:hint="eastAsia"/>
        </w:rPr>
        <w:t>專科以上學校依本法第十七條第一項規定，與技術型高級中等</w:t>
      </w:r>
    </w:p>
    <w:p w:rsidR="009C0356" w:rsidRPr="006F4CCA" w:rsidRDefault="009C0356" w:rsidP="00C76A9B">
      <w:pPr>
        <w:ind w:leftChars="472" w:left="1133"/>
        <w:jc w:val="both"/>
        <w:rPr>
          <w:rFonts w:ascii="標楷體" w:eastAsia="標楷體" w:hAnsi="標楷體"/>
        </w:rPr>
      </w:pPr>
      <w:r w:rsidRPr="006F4CCA">
        <w:rPr>
          <w:rFonts w:ascii="標楷體" w:eastAsia="標楷體" w:hAnsi="標楷體" w:hint="eastAsia"/>
        </w:rPr>
        <w:t>學校、普通型高級中等學校附設專業群科、綜合型高級中等學校專門學程及產業合作開設專班者，得招收一定比率之合作學校學生或產業人員；其招生方式、名額及其他應遵行事項之規定，由專科以上學校擬訂，報中央主管機關核定後辦理。</w:t>
      </w:r>
    </w:p>
    <w:p w:rsidR="00C76A9B" w:rsidRDefault="009C0356" w:rsidP="00C76A9B">
      <w:pPr>
        <w:jc w:val="both"/>
        <w:rPr>
          <w:rFonts w:ascii="標楷體" w:eastAsia="標楷體" w:hAnsi="標楷體"/>
        </w:rPr>
      </w:pPr>
      <w:r w:rsidRPr="006F4CCA">
        <w:rPr>
          <w:rFonts w:ascii="標楷體" w:eastAsia="標楷體" w:hAnsi="標楷體" w:hint="eastAsia"/>
        </w:rPr>
        <w:t>第</w:t>
      </w:r>
      <w:r w:rsidR="00F75848">
        <w:rPr>
          <w:rFonts w:ascii="標楷體" w:eastAsia="標楷體" w:hAnsi="標楷體" w:hint="eastAsia"/>
        </w:rPr>
        <w:t xml:space="preserve">  </w:t>
      </w:r>
      <w:r w:rsidRPr="006F4CCA">
        <w:rPr>
          <w:rFonts w:ascii="標楷體" w:eastAsia="標楷體" w:hAnsi="標楷體" w:hint="eastAsia"/>
        </w:rPr>
        <w:t>六</w:t>
      </w:r>
      <w:r w:rsidR="00F75848">
        <w:rPr>
          <w:rFonts w:ascii="標楷體" w:eastAsia="標楷體" w:hAnsi="標楷體" w:hint="eastAsia"/>
        </w:rPr>
        <w:t xml:space="preserve">  </w:t>
      </w:r>
      <w:r w:rsidRPr="006F4CCA">
        <w:rPr>
          <w:rFonts w:ascii="標楷體" w:eastAsia="標楷體" w:hAnsi="標楷體" w:hint="eastAsia"/>
        </w:rPr>
        <w:t>條</w:t>
      </w:r>
      <w:r w:rsidR="00514C25">
        <w:rPr>
          <w:rFonts w:ascii="標楷體" w:eastAsia="標楷體" w:hAnsi="標楷體"/>
        </w:rPr>
        <w:tab/>
      </w:r>
      <w:r w:rsidR="00514C25">
        <w:rPr>
          <w:rFonts w:ascii="標楷體" w:eastAsia="標楷體" w:hAnsi="標楷體"/>
        </w:rPr>
        <w:tab/>
      </w:r>
      <w:r w:rsidRPr="006F4CCA">
        <w:rPr>
          <w:rFonts w:ascii="標楷體" w:eastAsia="標楷體" w:hAnsi="標楷體" w:hint="eastAsia"/>
        </w:rPr>
        <w:t>本法第二十五條第一項所稱技職校院專業科目或技術科目教</w:t>
      </w:r>
    </w:p>
    <w:p w:rsidR="00C76A9B" w:rsidRDefault="009C0356" w:rsidP="00C76A9B">
      <w:pPr>
        <w:ind w:firstLineChars="472" w:firstLine="1133"/>
        <w:jc w:val="both"/>
        <w:rPr>
          <w:rFonts w:ascii="標楷體" w:eastAsia="標楷體" w:hAnsi="標楷體"/>
        </w:rPr>
      </w:pPr>
      <w:r w:rsidRPr="006F4CCA">
        <w:rPr>
          <w:rFonts w:ascii="標楷體" w:eastAsia="標楷體" w:hAnsi="標楷體" w:hint="eastAsia"/>
        </w:rPr>
        <w:t>師，指專任合格教師，不包括兼任、代理或代課教師。</w:t>
      </w:r>
    </w:p>
    <w:p w:rsidR="00C76A9B" w:rsidRDefault="009C0356" w:rsidP="00C76A9B">
      <w:pPr>
        <w:ind w:firstLineChars="472" w:firstLine="1133"/>
        <w:jc w:val="both"/>
        <w:rPr>
          <w:rFonts w:ascii="標楷體" w:eastAsia="標楷體" w:hAnsi="標楷體"/>
        </w:rPr>
      </w:pPr>
      <w:r w:rsidRPr="006F4CCA">
        <w:rPr>
          <w:rFonts w:ascii="標楷體" w:eastAsia="標楷體" w:hAnsi="標楷體" w:hint="eastAsia"/>
        </w:rPr>
        <w:t>本法施行之日至中華民國一百零八年七月三十一日前，技術型高級中</w:t>
      </w:r>
    </w:p>
    <w:p w:rsidR="00C76A9B" w:rsidRDefault="009C0356" w:rsidP="00C76A9B">
      <w:pPr>
        <w:ind w:firstLineChars="472" w:firstLine="1133"/>
        <w:jc w:val="both"/>
        <w:rPr>
          <w:rFonts w:ascii="標楷體" w:eastAsia="標楷體" w:hAnsi="標楷體"/>
        </w:rPr>
      </w:pPr>
      <w:r w:rsidRPr="006F4CCA">
        <w:rPr>
          <w:rFonts w:ascii="標楷體" w:eastAsia="標楷體" w:hAnsi="標楷體" w:hint="eastAsia"/>
        </w:rPr>
        <w:t>等學校、普通型高級中等學校附設專業群科、綜合型高級中等學校專</w:t>
      </w:r>
    </w:p>
    <w:p w:rsidR="00C76A9B" w:rsidRDefault="009C0356" w:rsidP="00C76A9B">
      <w:pPr>
        <w:ind w:firstLineChars="472" w:firstLine="1133"/>
        <w:jc w:val="both"/>
        <w:rPr>
          <w:rFonts w:ascii="標楷體" w:eastAsia="標楷體" w:hAnsi="標楷體"/>
        </w:rPr>
      </w:pPr>
      <w:r w:rsidRPr="006F4CCA">
        <w:rPr>
          <w:rFonts w:ascii="標楷體" w:eastAsia="標楷體" w:hAnsi="標楷體" w:hint="eastAsia"/>
        </w:rPr>
        <w:t>門學程，應優先聘任具備本法第二十五條第一項所定實務工作經驗資</w:t>
      </w:r>
    </w:p>
    <w:p w:rsidR="00C76A9B" w:rsidRDefault="009C0356" w:rsidP="00C76A9B">
      <w:pPr>
        <w:ind w:firstLineChars="472" w:firstLine="1133"/>
        <w:jc w:val="both"/>
        <w:rPr>
          <w:rFonts w:ascii="標楷體" w:eastAsia="標楷體" w:hAnsi="標楷體"/>
        </w:rPr>
      </w:pPr>
      <w:r w:rsidRPr="006F4CCA">
        <w:rPr>
          <w:rFonts w:ascii="標楷體" w:eastAsia="標楷體" w:hAnsi="標楷體" w:hint="eastAsia"/>
        </w:rPr>
        <w:t>格之專業科目或技術科目教師；有缺額時，得聘任未具備本法第二十</w:t>
      </w:r>
    </w:p>
    <w:p w:rsidR="00C76A9B" w:rsidRDefault="009C0356" w:rsidP="00C76A9B">
      <w:pPr>
        <w:ind w:firstLineChars="472" w:firstLine="1133"/>
        <w:jc w:val="both"/>
        <w:rPr>
          <w:rFonts w:ascii="標楷體" w:eastAsia="標楷體" w:hAnsi="標楷體"/>
        </w:rPr>
      </w:pPr>
      <w:r w:rsidRPr="006F4CCA">
        <w:rPr>
          <w:rFonts w:ascii="標楷體" w:eastAsia="標楷體" w:hAnsi="標楷體" w:hint="eastAsia"/>
        </w:rPr>
        <w:t>五條第一項所定實務工作經驗資格之專業科目或技術科目教師。</w:t>
      </w:r>
    </w:p>
    <w:p w:rsidR="00C76A9B" w:rsidRDefault="009C0356" w:rsidP="00C76A9B">
      <w:pPr>
        <w:ind w:firstLineChars="472" w:firstLine="1133"/>
        <w:jc w:val="both"/>
        <w:rPr>
          <w:rFonts w:ascii="標楷體" w:eastAsia="標楷體" w:hAnsi="標楷體"/>
        </w:rPr>
      </w:pPr>
      <w:r w:rsidRPr="006F4CCA">
        <w:rPr>
          <w:rFonts w:ascii="標楷體" w:eastAsia="標楷體" w:hAnsi="標楷體" w:hint="eastAsia"/>
        </w:rPr>
        <w:t>自一百零八年八月一日起，技術型高級中等學校、普通型高級中等學</w:t>
      </w:r>
    </w:p>
    <w:p w:rsidR="00C76A9B" w:rsidRDefault="009C0356" w:rsidP="00C76A9B">
      <w:pPr>
        <w:ind w:firstLineChars="472" w:firstLine="1133"/>
        <w:jc w:val="both"/>
        <w:rPr>
          <w:rFonts w:ascii="標楷體" w:eastAsia="標楷體" w:hAnsi="標楷體"/>
        </w:rPr>
      </w:pPr>
      <w:r w:rsidRPr="006F4CCA">
        <w:rPr>
          <w:rFonts w:ascii="標楷體" w:eastAsia="標楷體" w:hAnsi="標楷體" w:hint="eastAsia"/>
        </w:rPr>
        <w:t>校附設專業群科、綜合型高級中等學校專門學程，聘任專業科目或技</w:t>
      </w:r>
    </w:p>
    <w:p w:rsidR="009C0356" w:rsidRPr="006F4CCA" w:rsidRDefault="009C0356" w:rsidP="00C76A9B">
      <w:pPr>
        <w:ind w:firstLineChars="472" w:firstLine="1133"/>
        <w:jc w:val="both"/>
        <w:rPr>
          <w:rFonts w:ascii="標楷體" w:eastAsia="標楷體" w:hAnsi="標楷體"/>
        </w:rPr>
      </w:pPr>
      <w:r w:rsidRPr="006F4CCA">
        <w:rPr>
          <w:rFonts w:ascii="標楷體" w:eastAsia="標楷體" w:hAnsi="標楷體" w:hint="eastAsia"/>
        </w:rPr>
        <w:t>術科目教師，應具備本法第二十五條第一項所定資格。</w:t>
      </w:r>
    </w:p>
    <w:p w:rsidR="00C76A9B" w:rsidRDefault="009C0356" w:rsidP="00C76A9B">
      <w:pPr>
        <w:jc w:val="both"/>
        <w:rPr>
          <w:rFonts w:ascii="標楷體" w:eastAsia="標楷體" w:hAnsi="標楷體"/>
        </w:rPr>
      </w:pPr>
      <w:r w:rsidRPr="006F4CCA">
        <w:rPr>
          <w:rFonts w:ascii="標楷體" w:eastAsia="標楷體" w:hAnsi="標楷體" w:hint="eastAsia"/>
        </w:rPr>
        <w:t>第</w:t>
      </w:r>
      <w:r w:rsidR="00F75848">
        <w:rPr>
          <w:rFonts w:ascii="標楷體" w:eastAsia="標楷體" w:hAnsi="標楷體" w:hint="eastAsia"/>
        </w:rPr>
        <w:t xml:space="preserve">  </w:t>
      </w:r>
      <w:r w:rsidRPr="006F4CCA">
        <w:rPr>
          <w:rFonts w:ascii="標楷體" w:eastAsia="標楷體" w:hAnsi="標楷體" w:hint="eastAsia"/>
        </w:rPr>
        <w:t>七</w:t>
      </w:r>
      <w:r w:rsidR="00F75848">
        <w:rPr>
          <w:rFonts w:ascii="標楷體" w:eastAsia="標楷體" w:hAnsi="標楷體" w:hint="eastAsia"/>
        </w:rPr>
        <w:t xml:space="preserve">  </w:t>
      </w:r>
      <w:r w:rsidRPr="006F4CCA">
        <w:rPr>
          <w:rFonts w:ascii="標楷體" w:eastAsia="標楷體" w:hAnsi="標楷體" w:hint="eastAsia"/>
        </w:rPr>
        <w:t>條</w:t>
      </w:r>
      <w:r w:rsidR="00CB4F96">
        <w:rPr>
          <w:rFonts w:ascii="標楷體" w:eastAsia="標楷體" w:hAnsi="標楷體"/>
        </w:rPr>
        <w:tab/>
      </w:r>
      <w:r w:rsidR="00CB4F96">
        <w:rPr>
          <w:rFonts w:ascii="標楷體" w:eastAsia="標楷體" w:hAnsi="標楷體"/>
        </w:rPr>
        <w:tab/>
      </w:r>
      <w:r w:rsidRPr="006F4CCA">
        <w:rPr>
          <w:rFonts w:ascii="標楷體" w:eastAsia="標楷體" w:hAnsi="標楷體" w:hint="eastAsia"/>
        </w:rPr>
        <w:t>本法第二十六條第二項所稱薪給，指教師法第十九條第一項及</w:t>
      </w:r>
    </w:p>
    <w:p w:rsidR="009C0356" w:rsidRPr="006F4CCA" w:rsidRDefault="009C0356" w:rsidP="00C76A9B">
      <w:pPr>
        <w:ind w:leftChars="472" w:left="1133"/>
        <w:jc w:val="both"/>
        <w:rPr>
          <w:rFonts w:ascii="標楷體" w:eastAsia="標楷體" w:hAnsi="標楷體"/>
        </w:rPr>
      </w:pPr>
      <w:r w:rsidRPr="006F4CCA">
        <w:rPr>
          <w:rFonts w:ascii="標楷體" w:eastAsia="標楷體" w:hAnsi="標楷體" w:hint="eastAsia"/>
        </w:rPr>
        <w:t>教師待遇條例第二條所定待遇，包括本薪（年功薪）、加給及獎金。</w:t>
      </w:r>
    </w:p>
    <w:p w:rsidR="00C35392" w:rsidRPr="006F4CCA" w:rsidRDefault="009C0356" w:rsidP="00C76A9B">
      <w:pPr>
        <w:jc w:val="both"/>
        <w:rPr>
          <w:rFonts w:ascii="標楷體" w:eastAsia="標楷體" w:hAnsi="標楷體"/>
        </w:rPr>
      </w:pPr>
      <w:r w:rsidRPr="006F4CCA">
        <w:rPr>
          <w:rFonts w:ascii="標楷體" w:eastAsia="標楷體" w:hAnsi="標楷體" w:hint="eastAsia"/>
        </w:rPr>
        <w:t>第</w:t>
      </w:r>
      <w:r w:rsidR="00F75848">
        <w:rPr>
          <w:rFonts w:ascii="標楷體" w:eastAsia="標楷體" w:hAnsi="標楷體" w:hint="eastAsia"/>
        </w:rPr>
        <w:t xml:space="preserve">  </w:t>
      </w:r>
      <w:r w:rsidRPr="006F4CCA">
        <w:rPr>
          <w:rFonts w:ascii="標楷體" w:eastAsia="標楷體" w:hAnsi="標楷體" w:hint="eastAsia"/>
        </w:rPr>
        <w:t>八</w:t>
      </w:r>
      <w:r w:rsidR="00F75848">
        <w:rPr>
          <w:rFonts w:ascii="標楷體" w:eastAsia="標楷體" w:hAnsi="標楷體" w:hint="eastAsia"/>
        </w:rPr>
        <w:t xml:space="preserve">  </w:t>
      </w:r>
      <w:r w:rsidRPr="006F4CCA">
        <w:rPr>
          <w:rFonts w:ascii="標楷體" w:eastAsia="標楷體" w:hAnsi="標楷體" w:hint="eastAsia"/>
        </w:rPr>
        <w:t>條</w:t>
      </w:r>
      <w:r w:rsidR="00CB4F96">
        <w:rPr>
          <w:rFonts w:ascii="標楷體" w:eastAsia="標楷體" w:hAnsi="標楷體"/>
        </w:rPr>
        <w:tab/>
      </w:r>
      <w:r w:rsidR="00CB4F96">
        <w:rPr>
          <w:rFonts w:ascii="標楷體" w:eastAsia="標楷體" w:hAnsi="標楷體"/>
        </w:rPr>
        <w:tab/>
      </w:r>
      <w:r w:rsidRPr="006F4CCA">
        <w:rPr>
          <w:rFonts w:ascii="標楷體" w:eastAsia="標楷體" w:hAnsi="標楷體" w:hint="eastAsia"/>
        </w:rPr>
        <w:t>本細則自發布日施行。</w:t>
      </w:r>
    </w:p>
    <w:sectPr w:rsidR="00C35392" w:rsidRPr="006F4CC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E1F" w:rsidRDefault="00227E1F" w:rsidP="00404005">
      <w:r>
        <w:separator/>
      </w:r>
    </w:p>
  </w:endnote>
  <w:endnote w:type="continuationSeparator" w:id="0">
    <w:p w:rsidR="00227E1F" w:rsidRDefault="00227E1F" w:rsidP="0040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E1F" w:rsidRDefault="00227E1F" w:rsidP="00404005">
      <w:r>
        <w:separator/>
      </w:r>
    </w:p>
  </w:footnote>
  <w:footnote w:type="continuationSeparator" w:id="0">
    <w:p w:rsidR="00227E1F" w:rsidRDefault="00227E1F" w:rsidP="00404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56"/>
    <w:rsid w:val="001312C8"/>
    <w:rsid w:val="00227E1F"/>
    <w:rsid w:val="002625F0"/>
    <w:rsid w:val="002A65F2"/>
    <w:rsid w:val="00404005"/>
    <w:rsid w:val="00514C25"/>
    <w:rsid w:val="006F4CCA"/>
    <w:rsid w:val="00744196"/>
    <w:rsid w:val="009C0356"/>
    <w:rsid w:val="00C35392"/>
    <w:rsid w:val="00C76A9B"/>
    <w:rsid w:val="00CB4F96"/>
    <w:rsid w:val="00E50B45"/>
    <w:rsid w:val="00F532FC"/>
    <w:rsid w:val="00F758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7F594A-1615-40D1-A950-BE7F84BF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35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005"/>
    <w:pPr>
      <w:tabs>
        <w:tab w:val="center" w:pos="4153"/>
        <w:tab w:val="right" w:pos="8306"/>
      </w:tabs>
      <w:snapToGrid w:val="0"/>
    </w:pPr>
    <w:rPr>
      <w:sz w:val="20"/>
      <w:szCs w:val="20"/>
    </w:rPr>
  </w:style>
  <w:style w:type="character" w:customStyle="1" w:styleId="a4">
    <w:name w:val="頁首 字元"/>
    <w:basedOn w:val="a0"/>
    <w:link w:val="a3"/>
    <w:uiPriority w:val="99"/>
    <w:rsid w:val="00404005"/>
    <w:rPr>
      <w:rFonts w:ascii="Times New Roman" w:eastAsia="新細明體" w:hAnsi="Times New Roman" w:cs="Times New Roman"/>
      <w:sz w:val="20"/>
      <w:szCs w:val="20"/>
    </w:rPr>
  </w:style>
  <w:style w:type="paragraph" w:styleId="a5">
    <w:name w:val="footer"/>
    <w:basedOn w:val="a"/>
    <w:link w:val="a6"/>
    <w:uiPriority w:val="99"/>
    <w:unhideWhenUsed/>
    <w:rsid w:val="00404005"/>
    <w:pPr>
      <w:tabs>
        <w:tab w:val="center" w:pos="4153"/>
        <w:tab w:val="right" w:pos="8306"/>
      </w:tabs>
      <w:snapToGrid w:val="0"/>
    </w:pPr>
    <w:rPr>
      <w:sz w:val="20"/>
      <w:szCs w:val="20"/>
    </w:rPr>
  </w:style>
  <w:style w:type="character" w:customStyle="1" w:styleId="a6">
    <w:name w:val="頁尾 字元"/>
    <w:basedOn w:val="a0"/>
    <w:link w:val="a5"/>
    <w:uiPriority w:val="99"/>
    <w:rsid w:val="00404005"/>
    <w:rPr>
      <w:rFonts w:ascii="Times New Roman" w:eastAsia="新細明體" w:hAnsi="Times New Roman" w:cs="Times New Roman"/>
      <w:sz w:val="20"/>
      <w:szCs w:val="20"/>
    </w:rPr>
  </w:style>
  <w:style w:type="paragraph" w:styleId="a7">
    <w:name w:val="Balloon Text"/>
    <w:basedOn w:val="a"/>
    <w:link w:val="a8"/>
    <w:uiPriority w:val="99"/>
    <w:semiHidden/>
    <w:unhideWhenUsed/>
    <w:rsid w:val="001312C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312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黃啟賢</dc:creator>
  <cp:keywords/>
  <dc:description/>
  <cp:lastModifiedBy>海工教學組</cp:lastModifiedBy>
  <cp:revision>2</cp:revision>
  <cp:lastPrinted>2016-02-24T03:29:00Z</cp:lastPrinted>
  <dcterms:created xsi:type="dcterms:W3CDTF">2016-03-03T00:27:00Z</dcterms:created>
  <dcterms:modified xsi:type="dcterms:W3CDTF">2016-03-03T00:27:00Z</dcterms:modified>
</cp:coreProperties>
</file>